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spacing w:after="40" w:before="40" w:line="360" w:lineRule="auto"/>
        <w:jc w:val="center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Planeamiento didáctico _____</w:t>
      </w:r>
    </w:p>
    <w:p w:rsidR="00000000" w:rsidDel="00000000" w:rsidP="00000000" w:rsidRDefault="00000000" w:rsidRPr="00000000" w14:paraId="00000002">
      <w:pPr>
        <w:pStyle w:val="Heading1"/>
        <w:spacing w:after="40" w:before="40" w:line="360" w:lineRule="auto"/>
        <w:jc w:val="center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4v6uwxn43x5n" w:id="0"/>
      <w:bookmarkEnd w:id="0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Nivel de Educación Preescolar</w:t>
      </w:r>
    </w:p>
    <w:p w:rsidR="00000000" w:rsidDel="00000000" w:rsidP="00000000" w:rsidRDefault="00000000" w:rsidRPr="00000000" w14:paraId="00000003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4fcm2ytn3gkm" w:id="1"/>
      <w:bookmarkEnd w:id="1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Aspectos administrativos</w:t>
      </w:r>
    </w:p>
    <w:p w:rsidR="00000000" w:rsidDel="00000000" w:rsidP="00000000" w:rsidRDefault="00000000" w:rsidRPr="00000000" w14:paraId="00000004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Dirección Regional de Educación:</w:t>
      </w:r>
    </w:p>
    <w:p w:rsidR="00000000" w:rsidDel="00000000" w:rsidP="00000000" w:rsidRDefault="00000000" w:rsidRPr="00000000" w14:paraId="00000005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Nombre y apellidos del o la docente:</w:t>
      </w:r>
    </w:p>
    <w:p w:rsidR="00000000" w:rsidDel="00000000" w:rsidP="00000000" w:rsidRDefault="00000000" w:rsidRPr="00000000" w14:paraId="00000006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Centro educativo:</w:t>
      </w:r>
    </w:p>
    <w:p w:rsidR="00000000" w:rsidDel="00000000" w:rsidP="00000000" w:rsidRDefault="00000000" w:rsidRPr="00000000" w14:paraId="00000007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Curso lectivo: indique solo el año.</w:t>
      </w:r>
    </w:p>
    <w:p w:rsidR="00000000" w:rsidDel="00000000" w:rsidP="00000000" w:rsidRDefault="00000000" w:rsidRPr="00000000" w14:paraId="00000008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Ciclo: indique solo el ciclo que le corresponde (Materno Infantil-Grupo Interactivo II o Ciclo de Transición).</w:t>
      </w:r>
    </w:p>
    <w:p w:rsidR="00000000" w:rsidDel="00000000" w:rsidP="00000000" w:rsidRDefault="00000000" w:rsidRPr="00000000" w14:paraId="00000009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Periodicidad: (indique solo el trimestre que corresponde: Diagnóstico, I Trimestre, II Trimestre, III Trimestre).</w:t>
      </w:r>
    </w:p>
    <w:p w:rsidR="00000000" w:rsidDel="00000000" w:rsidP="00000000" w:rsidRDefault="00000000" w:rsidRPr="00000000" w14:paraId="0000000A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Modalidad: indique sólo la modalidad que le corresponde: Heterogéneo. Servicio educativo MEP en centros de cuido y desarrollo infantil. Servicios educativos amparados bajo el decreto 42165-MEP(acreditados). Inglés inmersivo. Francés inmersivo.</w:t>
      </w:r>
    </w:p>
    <w:p w:rsidR="00000000" w:rsidDel="00000000" w:rsidP="00000000" w:rsidRDefault="00000000" w:rsidRPr="00000000" w14:paraId="0000000B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ihdyb5kvldi8" w:id="2"/>
      <w:bookmarkEnd w:id="2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Competencia general (marque con una equis la competencia con la que está trabajando):</w:t>
      </w:r>
    </w:p>
    <w:p w:rsidR="00000000" w:rsidDel="00000000" w:rsidP="00000000" w:rsidRDefault="00000000" w:rsidRPr="00000000" w14:paraId="0000000C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Ciudadanía responsable y solidaria (   )</w:t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Competencias para la vida (   )</w:t>
      </w:r>
    </w:p>
    <w:p w:rsidR="00000000" w:rsidDel="00000000" w:rsidP="00000000" w:rsidRDefault="00000000" w:rsidRPr="00000000" w14:paraId="0000000E">
      <w:pPr>
        <w:spacing w:after="40" w:before="40" w:line="360" w:lineRule="auto"/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Competencias para la empleabilidad digna (   )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I. Habilidades en el marco de la política curricular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Dimensión: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Maneras de pensar.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Habilidad: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Pensamiento sistémico.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Habilidad para ver el todo y las partes, así como las conexiones entre estas que permiten la construcción de sentido de acuerdo con el contexto.</w:t>
      </w:r>
    </w:p>
    <w:p w:rsidR="00000000" w:rsidDel="00000000" w:rsidP="00000000" w:rsidRDefault="00000000" w:rsidRPr="00000000" w14:paraId="00000013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0"/>
        </w:rPr>
        <w:t xml:space="preserve">Tabla 1 / Habilidades en el marco de la política curricular</w:t>
      </w:r>
    </w:p>
    <w:tbl>
      <w:tblPr>
        <w:tblStyle w:val="Table1"/>
        <w:tblW w:w="13893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3893"/>
        <w:tblGridChange w:id="0">
          <w:tblGrid>
            <w:gridCol w:w="13893"/>
          </w:tblGrid>
        </w:tblGridChange>
      </w:tblGrid>
      <w:tr>
        <w:trPr>
          <w:cantSplit w:val="0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Indicador (Pautas para el desarrollo de la habilidad)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Patrones dentro del sistema</w:t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Abstrae datos, hechos, acciones y objetos como parte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 un contexto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más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amplio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y complejos.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17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Causalidad entre los componentes del sistema</w:t>
            </w:r>
          </w:p>
          <w:p w:rsidR="00000000" w:rsidDel="00000000" w:rsidP="00000000" w:rsidRDefault="00000000" w:rsidRPr="00000000" w14:paraId="00000018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Expone cómo cada objeto, hecho, persona y ser vivo son parte de un sistema dinámico de interrelación e interdependencia en su entorno determinado.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19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Modificación y mejoras del sistema</w:t>
            </w:r>
          </w:p>
          <w:p w:rsidR="00000000" w:rsidDel="00000000" w:rsidP="00000000" w:rsidRDefault="00000000" w:rsidRPr="00000000" w14:paraId="0000001A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Desarrolla nuevos conocimientos, técnicas y herramientas prácticas que le permiten la reconstrucción de sentidos.</w:t>
            </w:r>
          </w:p>
        </w:tc>
      </w:tr>
    </w:tbl>
    <w:p w:rsidR="00000000" w:rsidDel="00000000" w:rsidP="00000000" w:rsidRDefault="00000000" w:rsidRPr="00000000" w14:paraId="0000001B">
      <w:pPr>
        <w:spacing w:after="40" w:before="40" w:line="360" w:lineRule="auto"/>
        <w:rPr>
          <w:rFonts w:ascii="Arial" w:cs="Arial" w:eastAsia="Arial" w:hAnsi="Arial"/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II. Aprendizajes esperados, indicadores de los aprendizajes esperados y estrategias de mediación.</w:t>
      </w:r>
    </w:p>
    <w:p w:rsidR="00000000" w:rsidDel="00000000" w:rsidP="00000000" w:rsidRDefault="00000000" w:rsidRPr="00000000" w14:paraId="0000001D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0"/>
        </w:rPr>
        <w:t xml:space="preserve">Tabla 2 / Aprendizajes esperados, indicadores y estrategias de mediación</w:t>
      </w:r>
    </w:p>
    <w:tbl>
      <w:tblPr>
        <w:tblStyle w:val="Table2"/>
        <w:tblW w:w="12049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885"/>
        <w:gridCol w:w="5474"/>
        <w:gridCol w:w="3690"/>
        <w:tblGridChange w:id="0">
          <w:tblGrid>
            <w:gridCol w:w="2885"/>
            <w:gridCol w:w="5474"/>
            <w:gridCol w:w="369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E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Aprendizaje esperado</w:t>
            </w:r>
          </w:p>
          <w:p w:rsidR="00000000" w:rsidDel="00000000" w:rsidP="00000000" w:rsidRDefault="00000000" w:rsidRPr="00000000" w14:paraId="0000001F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(Componente del programa de estudio)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0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heading=h.30j0zll" w:id="3"/>
            <w:bookmarkEnd w:id="3"/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 del aprendizaje esperado (aprendizaje esperado más la habilidad)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1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Estrategias de Mediación</w:t>
            </w:r>
          </w:p>
        </w:tc>
      </w:tr>
      <w:tr>
        <w:trPr>
          <w:cantSplit w:val="0"/>
          <w:trHeight w:val="914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2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Centro educativo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60" w:right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Reconoce las funciones de las personas que son parte del centro educativo.</w:t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05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Reconoce la utilidad de los espacios físicos que son parte del centro educativo.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05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Identifica los derechos de las personas estudiantes del centro educativo.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05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Identifica responsabilidades de las personas estudiantes del centro educativo.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05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Experimenta vivencias que favorecen la continuidad de los aprendizajes.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8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Los niños y las niñas, según sus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posibilidades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, desarrollan esta habilidad cuando:</w:t>
            </w:r>
          </w:p>
        </w:tc>
      </w:tr>
    </w:tbl>
    <w:p w:rsidR="00000000" w:rsidDel="00000000" w:rsidP="00000000" w:rsidRDefault="00000000" w:rsidRPr="00000000" w14:paraId="00000029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Observaciones: El tercer nivel de desempeño del contenido conceptual de “centro educativo” del Programa de Estudios de Educación Preescolar se aborda a partir de las vivencias que favorecen la continuidad de los aprendizajes. Con respecto a la articulación entre el nivel de Educación Preescolar y el primer año de la Educación General Básica se realiza en el tercer trimestre del Ciclo de Transición, ver página 35 del programa de estudio.</w:t>
      </w:r>
      <w:r w:rsidDel="00000000" w:rsidR="00000000" w:rsidRPr="00000000">
        <w:br w:type="page"/>
      </w: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III. Instrumento de evaluación</w:t>
      </w:r>
    </w:p>
    <w:p w:rsidR="00000000" w:rsidDel="00000000" w:rsidP="00000000" w:rsidRDefault="00000000" w:rsidRPr="00000000" w14:paraId="0000002A">
      <w:pPr>
        <w:pStyle w:val="Heading2"/>
        <w:spacing w:after="40" w:line="360" w:lineRule="auto"/>
        <w:rPr>
          <w:rFonts w:ascii="Arial" w:cs="Arial" w:eastAsia="Arial" w:hAnsi="Arial"/>
          <w:b w:val="1"/>
          <w:i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Patrones dentro del sistema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0"/>
        </w:rPr>
        <w:t xml:space="preserve">Tabla 3 / Patrones dentro del sistema</w:t>
      </w:r>
    </w:p>
    <w:tbl>
      <w:tblPr>
        <w:tblStyle w:val="Table3"/>
        <w:tblW w:w="14176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550"/>
        <w:gridCol w:w="2835"/>
        <w:gridCol w:w="2835"/>
        <w:gridCol w:w="2956"/>
        <w:tblGridChange w:id="0">
          <w:tblGrid>
            <w:gridCol w:w="5550"/>
            <w:gridCol w:w="2835"/>
            <w:gridCol w:w="2835"/>
            <w:gridCol w:w="2956"/>
          </w:tblGrid>
        </w:tblGridChange>
      </w:tblGrid>
      <w:tr>
        <w:trPr>
          <w:cantSplit w:val="0"/>
          <w:trHeight w:val="52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D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E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F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/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Reconoce las funciones de las personas que son parte del centro educativo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Conoce a las personas que son parte del centro educativo</w:t>
            </w:r>
          </w:p>
        </w:tc>
        <w:tc>
          <w:tcPr/>
          <w:p w:rsidR="00000000" w:rsidDel="00000000" w:rsidP="00000000" w:rsidRDefault="00000000" w:rsidRPr="00000000" w14:paraId="00000032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Describe las funciones de las personas que son parte del centro educativo.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Identifica las funciones de las personas que son parte del centro educativo.</w:t>
            </w:r>
          </w:p>
        </w:tc>
      </w:tr>
      <w:tr>
        <w:trPr>
          <w:cantSplit w:val="0"/>
          <w:trHeight w:val="526" w:hRule="atLeast"/>
          <w:tblHeader w:val="0"/>
        </w:trPr>
        <w:tc>
          <w:tcPr/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Reconoce la utilidad de los espacios físicos que son parte del centro educativo.</w:t>
            </w:r>
          </w:p>
        </w:tc>
        <w:tc>
          <w:tcPr/>
          <w:p w:rsidR="00000000" w:rsidDel="00000000" w:rsidP="00000000" w:rsidRDefault="00000000" w:rsidRPr="00000000" w14:paraId="00000035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Conoce los espacios físicos que son parte del centro educativo</w:t>
            </w:r>
          </w:p>
        </w:tc>
        <w:tc>
          <w:tcPr/>
          <w:p w:rsidR="00000000" w:rsidDel="00000000" w:rsidP="00000000" w:rsidRDefault="00000000" w:rsidRPr="00000000" w14:paraId="00000036">
            <w:pPr>
              <w:spacing w:after="40" w:before="40" w:line="360" w:lineRule="auto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Describe la utilidad de los espacios físicos que son parte del centro educativo.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Identifica la utilidad de los espacios físicos que son parte del centro educativo.</w:t>
            </w:r>
          </w:p>
        </w:tc>
      </w:tr>
    </w:tbl>
    <w:p w:rsidR="00000000" w:rsidDel="00000000" w:rsidP="00000000" w:rsidRDefault="00000000" w:rsidRPr="00000000" w14:paraId="00000038">
      <w:pPr>
        <w:rPr>
          <w:rFonts w:ascii="Arial" w:cs="Arial" w:eastAsia="Arial" w:hAnsi="Arial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Causalidad entre los componentes del sistema</w:t>
      </w:r>
    </w:p>
    <w:p w:rsidR="00000000" w:rsidDel="00000000" w:rsidP="00000000" w:rsidRDefault="00000000" w:rsidRPr="00000000" w14:paraId="0000003A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0"/>
        </w:rPr>
        <w:t xml:space="preserve">Tabla 4 / Causalidad entre los componentes del sistema</w:t>
      </w:r>
    </w:p>
    <w:tbl>
      <w:tblPr>
        <w:tblStyle w:val="Table4"/>
        <w:tblW w:w="1418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555"/>
        <w:gridCol w:w="2835"/>
        <w:gridCol w:w="2835"/>
        <w:gridCol w:w="2956"/>
        <w:tblGridChange w:id="0">
          <w:tblGrid>
            <w:gridCol w:w="5555"/>
            <w:gridCol w:w="2835"/>
            <w:gridCol w:w="2835"/>
            <w:gridCol w:w="2956"/>
          </w:tblGrid>
        </w:tblGridChange>
      </w:tblGrid>
      <w:tr>
        <w:trPr>
          <w:cantSplit w:val="0"/>
          <w:trHeight w:val="526" w:hRule="atLeast"/>
          <w:tblHeader w:val="0"/>
        </w:trPr>
        <w:tc>
          <w:tcPr/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C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/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Identifica los derechos de las personas estudiantes del centro educativo.</w:t>
            </w:r>
          </w:p>
        </w:tc>
        <w:tc>
          <w:tcPr/>
          <w:p w:rsidR="00000000" w:rsidDel="00000000" w:rsidP="00000000" w:rsidRDefault="00000000" w:rsidRPr="00000000" w14:paraId="00000040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Conoce el concepto de derecho de las personas.</w:t>
            </w:r>
          </w:p>
        </w:tc>
        <w:tc>
          <w:tcPr/>
          <w:p w:rsidR="00000000" w:rsidDel="00000000" w:rsidP="00000000" w:rsidRDefault="00000000" w:rsidRPr="00000000" w14:paraId="00000041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Resalta la importancia de los derechos de las personas estudiantes del centro educativo.</w:t>
            </w:r>
          </w:p>
        </w:tc>
        <w:tc>
          <w:tcPr/>
          <w:p w:rsidR="00000000" w:rsidDel="00000000" w:rsidP="00000000" w:rsidRDefault="00000000" w:rsidRPr="00000000" w14:paraId="00000042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Reconoce los derechos de las personas estudiantes del centro educativo.</w:t>
            </w:r>
          </w:p>
        </w:tc>
      </w:tr>
      <w:tr>
        <w:trPr>
          <w:cantSplit w:val="0"/>
          <w:trHeight w:val="526" w:hRule="atLeast"/>
          <w:tblHeader w:val="0"/>
        </w:trPr>
        <w:tc>
          <w:tcPr/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Identifica responsabilidades de las personas estudiantes del centro educativo.</w:t>
            </w:r>
          </w:p>
        </w:tc>
        <w:tc>
          <w:tcPr/>
          <w:p w:rsidR="00000000" w:rsidDel="00000000" w:rsidP="00000000" w:rsidRDefault="00000000" w:rsidRPr="00000000" w14:paraId="00000044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Conoce el concepto de responsabilidad de las personas.</w:t>
            </w:r>
          </w:p>
        </w:tc>
        <w:tc>
          <w:tcPr/>
          <w:p w:rsidR="00000000" w:rsidDel="00000000" w:rsidP="00000000" w:rsidRDefault="00000000" w:rsidRPr="00000000" w14:paraId="00000045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Resalta la importancia de las responsabilidades de las personas estudiantes del centro educativo.</w:t>
            </w:r>
          </w:p>
        </w:tc>
        <w:tc>
          <w:tcPr/>
          <w:p w:rsidR="00000000" w:rsidDel="00000000" w:rsidP="00000000" w:rsidRDefault="00000000" w:rsidRPr="00000000" w14:paraId="00000046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Reconoce la importancia de los sentidos del cuerpo, en juegos cotidianos.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7">
      <w:pPr>
        <w:rPr>
          <w:rFonts w:ascii="Arial" w:cs="Arial" w:eastAsia="Arial" w:hAnsi="Arial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Modificación y mejoras del sistema</w:t>
      </w:r>
    </w:p>
    <w:p w:rsidR="00000000" w:rsidDel="00000000" w:rsidP="00000000" w:rsidRDefault="00000000" w:rsidRPr="00000000" w14:paraId="00000049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0"/>
        </w:rPr>
        <w:t xml:space="preserve">Tabla 5 / Modificación y mejoras del sistema</w:t>
      </w:r>
    </w:p>
    <w:tbl>
      <w:tblPr>
        <w:tblStyle w:val="Table5"/>
        <w:tblW w:w="1403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408"/>
        <w:gridCol w:w="2835"/>
        <w:gridCol w:w="2835"/>
        <w:gridCol w:w="2956"/>
        <w:tblGridChange w:id="0">
          <w:tblGrid>
            <w:gridCol w:w="5408"/>
            <w:gridCol w:w="2835"/>
            <w:gridCol w:w="2835"/>
            <w:gridCol w:w="2956"/>
          </w:tblGrid>
        </w:tblGridChange>
      </w:tblGrid>
      <w:tr>
        <w:trPr>
          <w:cantSplit w:val="0"/>
          <w:trHeight w:val="526" w:hRule="atLeast"/>
          <w:tblHeader w:val="1"/>
        </w:trPr>
        <w:tc>
          <w:tcPr/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D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/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Experimenta vivencias que favorecen la continuidad de los aprendizajes.</w:t>
            </w:r>
          </w:p>
        </w:tc>
        <w:tc>
          <w:tcPr/>
          <w:p w:rsidR="00000000" w:rsidDel="00000000" w:rsidP="00000000" w:rsidRDefault="00000000" w:rsidRPr="00000000" w14:paraId="0000004F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Reconoce las vivencias que favorecen la continuidad de los aprendizajes.</w:t>
            </w:r>
          </w:p>
        </w:tc>
        <w:tc>
          <w:tcPr/>
          <w:p w:rsidR="00000000" w:rsidDel="00000000" w:rsidP="00000000" w:rsidRDefault="00000000" w:rsidRPr="00000000" w14:paraId="00000050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Describe las vivencias que favorecen la continuidad de los aprendizajes.</w:t>
            </w:r>
          </w:p>
        </w:tc>
        <w:tc>
          <w:tcPr/>
          <w:p w:rsidR="00000000" w:rsidDel="00000000" w:rsidP="00000000" w:rsidRDefault="00000000" w:rsidRPr="00000000" w14:paraId="00000051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Práctica las vivencias que favorecen la continuidad de los aprendizajes.</w:t>
            </w:r>
          </w:p>
        </w:tc>
      </w:tr>
    </w:tbl>
    <w:p w:rsidR="00000000" w:rsidDel="00000000" w:rsidP="00000000" w:rsidRDefault="00000000" w:rsidRPr="00000000" w14:paraId="00000052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IV. Organización del tiempo.</w:t>
      </w:r>
    </w:p>
    <w:p w:rsidR="00000000" w:rsidDel="00000000" w:rsidP="00000000" w:rsidRDefault="00000000" w:rsidRPr="00000000" w14:paraId="00000053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V. Anexos.</w:t>
      </w:r>
    </w:p>
    <w:sectPr>
      <w:footerReference r:id="rId7" w:type="default"/>
      <w:pgSz w:h="11906" w:w="16838" w:orient="landscape"/>
      <w:pgMar w:bottom="1701" w:top="851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3377"/>
        <w:tab w:val="right" w:leader="none" w:pos="130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bookmarkStart w:colFirst="0" w:colLast="0" w:name="_heading=h.1fob9te" w:id="4"/>
    <w:bookmarkEnd w:id="4"/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Actualización realizada </w:t>
    </w:r>
    <w:r w:rsidDel="00000000" w:rsidR="00000000" w:rsidRPr="00000000">
      <w:rPr>
        <w:rtl w:val="0"/>
      </w:rPr>
      <w:t xml:space="preserve">por el Departamento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de Educación de la Primera Infancia. 202</w:t>
    </w:r>
    <w:r w:rsidDel="00000000" w:rsidR="00000000" w:rsidRPr="00000000">
      <w:rPr>
        <w:rtl w:val="0"/>
      </w:rPr>
      <w:t xml:space="preserve">4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f5496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1f3863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i w:val="1"/>
      <w:color w:val="2f5496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f5496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F816AF"/>
    <w:rPr>
      <w:lang w:val="es-CR"/>
    </w:rPr>
  </w:style>
  <w:style w:type="paragraph" w:styleId="Ttulo1">
    <w:name w:val="heading 1"/>
    <w:basedOn w:val="Normal"/>
    <w:next w:val="Normal"/>
    <w:link w:val="Ttulo1Car"/>
    <w:uiPriority w:val="9"/>
    <w:qFormat w:val="1"/>
    <w:rsid w:val="00AA6E0A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 w:val="1"/>
    <w:qFormat w:val="1"/>
    <w:rsid w:val="00C75EAE"/>
    <w:pPr>
      <w:keepNext w:val="1"/>
      <w:keepLines w:val="1"/>
      <w:spacing w:after="0" w:before="40"/>
      <w:outlineLvl w:val="1"/>
    </w:pPr>
    <w:rPr>
      <w:rFonts w:asciiTheme="majorHAnsi" w:cstheme="majorBidi" w:eastAsiaTheme="majorEastAsia" w:hAnsiTheme="majorHAnsi"/>
      <w:color w:val="2f5496" w:themeColor="accent1" w:themeShade="0000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 w:val="1"/>
    <w:qFormat w:val="1"/>
    <w:rsid w:val="00C75EAE"/>
    <w:pPr>
      <w:keepNext w:val="1"/>
      <w:keepLines w:val="1"/>
      <w:spacing w:after="0" w:before="40"/>
      <w:outlineLvl w:val="2"/>
    </w:pPr>
    <w:rPr>
      <w:rFonts w:asciiTheme="majorHAnsi" w:cstheme="majorBidi" w:eastAsiaTheme="majorEastAsia" w:hAnsiTheme="majorHAnsi"/>
      <w:color w:val="1f3763" w:themeColor="accent1" w:themeShade="0000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 w:val="1"/>
    <w:qFormat w:val="1"/>
    <w:rsid w:val="006A1F01"/>
    <w:pPr>
      <w:keepNext w:val="1"/>
      <w:keepLines w:val="1"/>
      <w:spacing w:after="0" w:before="40"/>
      <w:outlineLvl w:val="3"/>
    </w:pPr>
    <w:rPr>
      <w:rFonts w:asciiTheme="majorHAnsi" w:cstheme="majorBidi" w:eastAsiaTheme="majorEastAsia" w:hAnsiTheme="majorHAnsi"/>
      <w:i w:val="1"/>
      <w:iCs w:val="1"/>
      <w:color w:val="2f5496" w:themeColor="accent1" w:themeShade="0000BF"/>
    </w:rPr>
  </w:style>
  <w:style w:type="paragraph" w:styleId="Ttulo5">
    <w:name w:val="heading 5"/>
    <w:basedOn w:val="Normal"/>
    <w:next w:val="Normal"/>
    <w:link w:val="Ttulo5Car"/>
    <w:uiPriority w:val="9"/>
    <w:unhideWhenUsed w:val="1"/>
    <w:qFormat w:val="1"/>
    <w:rsid w:val="000F2AE3"/>
    <w:pPr>
      <w:keepNext w:val="1"/>
      <w:keepLines w:val="1"/>
      <w:spacing w:after="0" w:before="40"/>
      <w:outlineLvl w:val="4"/>
    </w:pPr>
    <w:rPr>
      <w:rFonts w:asciiTheme="majorHAnsi" w:cstheme="majorBidi" w:eastAsiaTheme="majorEastAsia" w:hAnsiTheme="majorHAnsi"/>
      <w:color w:val="2f5496" w:themeColor="accent1" w:themeShade="0000BF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aconcuadrcula">
    <w:name w:val="Table Grid"/>
    <w:basedOn w:val="Tablanormal"/>
    <w:uiPriority w:val="39"/>
    <w:rsid w:val="00F816AF"/>
    <w:pPr>
      <w:spacing w:after="0" w:line="240" w:lineRule="auto"/>
    </w:pPr>
    <w:rPr>
      <w:lang w:val="es-C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aliases w:val="3,NORMAL"/>
    <w:basedOn w:val="Normal"/>
    <w:link w:val="PrrafodelistaCar"/>
    <w:uiPriority w:val="34"/>
    <w:qFormat w:val="1"/>
    <w:rsid w:val="00F816AF"/>
    <w:pPr>
      <w:spacing w:after="200" w:line="276" w:lineRule="auto"/>
      <w:ind w:left="720"/>
      <w:contextualSpacing w:val="1"/>
    </w:pPr>
    <w:rPr>
      <w:rFonts w:ascii="Calibri" w:cs="Times New Roman" w:eastAsia="Calibri" w:hAnsi="Calibri"/>
      <w:lang w:val="es-ES"/>
    </w:rPr>
  </w:style>
  <w:style w:type="character" w:styleId="PrrafodelistaCar" w:customStyle="1">
    <w:name w:val="Párrafo de lista Car"/>
    <w:aliases w:val="3 Car,NORMAL Car"/>
    <w:link w:val="Prrafodelista"/>
    <w:uiPriority w:val="34"/>
    <w:locked w:val="1"/>
    <w:rsid w:val="00F816AF"/>
    <w:rPr>
      <w:rFonts w:ascii="Calibri" w:cs="Times New Roman" w:eastAsia="Calibri" w:hAnsi="Calibri"/>
    </w:rPr>
  </w:style>
  <w:style w:type="paragraph" w:styleId="Sinespaciado">
    <w:name w:val="No Spacing"/>
    <w:link w:val="SinespaciadoCar"/>
    <w:uiPriority w:val="1"/>
    <w:qFormat w:val="1"/>
    <w:rsid w:val="00F816AF"/>
    <w:pPr>
      <w:spacing w:after="0" w:line="240" w:lineRule="auto"/>
    </w:pPr>
    <w:rPr>
      <w:rFonts w:ascii="Tahoma" w:cs="Tahoma" w:eastAsia="Times New Roman" w:hAnsi="Tahoma"/>
      <w:sz w:val="24"/>
      <w:szCs w:val="24"/>
      <w:lang w:eastAsia="es-ES" w:val="es-CR"/>
    </w:rPr>
  </w:style>
  <w:style w:type="character" w:styleId="SinespaciadoCar" w:customStyle="1">
    <w:name w:val="Sin espaciado Car"/>
    <w:basedOn w:val="Fuentedeprrafopredeter"/>
    <w:link w:val="Sinespaciado"/>
    <w:uiPriority w:val="1"/>
    <w:rsid w:val="00F816AF"/>
    <w:rPr>
      <w:rFonts w:ascii="Tahoma" w:cs="Tahoma" w:eastAsia="Times New Roman" w:hAnsi="Tahoma"/>
      <w:sz w:val="24"/>
      <w:szCs w:val="24"/>
      <w:lang w:eastAsia="es-ES" w:val="es-CR"/>
    </w:rPr>
  </w:style>
  <w:style w:type="paragraph" w:styleId="Encabezado">
    <w:name w:val="header"/>
    <w:basedOn w:val="Normal"/>
    <w:link w:val="EncabezadoCar"/>
    <w:uiPriority w:val="99"/>
    <w:unhideWhenUsed w:val="1"/>
    <w:rsid w:val="00201482"/>
    <w:pPr>
      <w:tabs>
        <w:tab w:val="center" w:pos="4252"/>
        <w:tab w:val="right" w:pos="8504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201482"/>
    <w:rPr>
      <w:lang w:val="es-CR"/>
    </w:rPr>
  </w:style>
  <w:style w:type="paragraph" w:styleId="Piedepgina">
    <w:name w:val="footer"/>
    <w:basedOn w:val="Normal"/>
    <w:link w:val="PiedepginaCar"/>
    <w:uiPriority w:val="99"/>
    <w:unhideWhenUsed w:val="1"/>
    <w:rsid w:val="00201482"/>
    <w:pPr>
      <w:tabs>
        <w:tab w:val="center" w:pos="4252"/>
        <w:tab w:val="right" w:pos="8504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201482"/>
    <w:rPr>
      <w:lang w:val="es-CR"/>
    </w:rPr>
  </w:style>
  <w:style w:type="character" w:styleId="Ttulo1Car" w:customStyle="1">
    <w:name w:val="Título 1 Car"/>
    <w:basedOn w:val="Fuentedeprrafopredeter"/>
    <w:link w:val="Ttulo1"/>
    <w:uiPriority w:val="9"/>
    <w:rsid w:val="00AA6E0A"/>
    <w:rPr>
      <w:rFonts w:asciiTheme="majorHAnsi" w:cstheme="majorBidi" w:eastAsiaTheme="majorEastAsia" w:hAnsiTheme="majorHAnsi"/>
      <w:color w:val="2f5496" w:themeColor="accent1" w:themeShade="0000BF"/>
      <w:sz w:val="32"/>
      <w:szCs w:val="32"/>
      <w:lang w:val="es-CR"/>
    </w:rPr>
  </w:style>
  <w:style w:type="character" w:styleId="Ttulo2Car" w:customStyle="1">
    <w:name w:val="Título 2 Car"/>
    <w:basedOn w:val="Fuentedeprrafopredeter"/>
    <w:link w:val="Ttulo2"/>
    <w:uiPriority w:val="9"/>
    <w:rsid w:val="00C75EAE"/>
    <w:rPr>
      <w:rFonts w:asciiTheme="majorHAnsi" w:cstheme="majorBidi" w:eastAsiaTheme="majorEastAsia" w:hAnsiTheme="majorHAnsi"/>
      <w:color w:val="2f5496" w:themeColor="accent1" w:themeShade="0000BF"/>
      <w:sz w:val="26"/>
      <w:szCs w:val="26"/>
      <w:lang w:val="es-CR"/>
    </w:rPr>
  </w:style>
  <w:style w:type="character" w:styleId="Ttulo3Car" w:customStyle="1">
    <w:name w:val="Título 3 Car"/>
    <w:basedOn w:val="Fuentedeprrafopredeter"/>
    <w:link w:val="Ttulo3"/>
    <w:uiPriority w:val="9"/>
    <w:rsid w:val="00C75EAE"/>
    <w:rPr>
      <w:rFonts w:asciiTheme="majorHAnsi" w:cstheme="majorBidi" w:eastAsiaTheme="majorEastAsia" w:hAnsiTheme="majorHAnsi"/>
      <w:color w:val="1f3763" w:themeColor="accent1" w:themeShade="00007F"/>
      <w:sz w:val="24"/>
      <w:szCs w:val="24"/>
      <w:lang w:val="es-CR"/>
    </w:rPr>
  </w:style>
  <w:style w:type="paragraph" w:styleId="Descripcin">
    <w:name w:val="caption"/>
    <w:basedOn w:val="Normal"/>
    <w:next w:val="Normal"/>
    <w:uiPriority w:val="35"/>
    <w:unhideWhenUsed w:val="1"/>
    <w:qFormat w:val="1"/>
    <w:rsid w:val="00D14443"/>
    <w:pPr>
      <w:spacing w:after="0" w:line="240" w:lineRule="auto"/>
    </w:pPr>
    <w:rPr>
      <w:i w:val="1"/>
      <w:iCs w:val="1"/>
      <w:color w:val="44546a" w:themeColor="text2"/>
      <w:sz w:val="18"/>
      <w:szCs w:val="18"/>
    </w:rPr>
  </w:style>
  <w:style w:type="character" w:styleId="normaltextrun" w:customStyle="1">
    <w:name w:val="normaltextrun"/>
    <w:basedOn w:val="Fuentedeprrafopredeter"/>
    <w:rsid w:val="00156945"/>
  </w:style>
  <w:style w:type="character" w:styleId="eop" w:customStyle="1">
    <w:name w:val="eop"/>
    <w:basedOn w:val="Fuentedeprrafopredeter"/>
    <w:rsid w:val="00156945"/>
  </w:style>
  <w:style w:type="character" w:styleId="Hipervnculo">
    <w:name w:val="Hyperlink"/>
    <w:basedOn w:val="Fuentedeprrafopredeter"/>
    <w:uiPriority w:val="99"/>
    <w:unhideWhenUsed w:val="1"/>
    <w:rsid w:val="00CC6352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 w:val="1"/>
    <w:unhideWhenUsed w:val="1"/>
    <w:rsid w:val="009F1265"/>
    <w:rPr>
      <w:color w:val="954f72" w:themeColor="followedHyperlink"/>
      <w:u w:val="single"/>
    </w:rPr>
  </w:style>
  <w:style w:type="character" w:styleId="Ttulo4Car" w:customStyle="1">
    <w:name w:val="Título 4 Car"/>
    <w:basedOn w:val="Fuentedeprrafopredeter"/>
    <w:link w:val="Ttulo4"/>
    <w:uiPriority w:val="9"/>
    <w:rsid w:val="006A1F01"/>
    <w:rPr>
      <w:rFonts w:asciiTheme="majorHAnsi" w:cstheme="majorBidi" w:eastAsiaTheme="majorEastAsia" w:hAnsiTheme="majorHAnsi"/>
      <w:i w:val="1"/>
      <w:iCs w:val="1"/>
      <w:color w:val="2f5496" w:themeColor="accent1" w:themeShade="0000BF"/>
      <w:lang w:val="es-CR"/>
    </w:rPr>
  </w:style>
  <w:style w:type="character" w:styleId="Ttulo5Car" w:customStyle="1">
    <w:name w:val="Título 5 Car"/>
    <w:basedOn w:val="Fuentedeprrafopredeter"/>
    <w:link w:val="Ttulo5"/>
    <w:uiPriority w:val="9"/>
    <w:rsid w:val="000F2AE3"/>
    <w:rPr>
      <w:rFonts w:asciiTheme="majorHAnsi" w:cstheme="majorBidi" w:eastAsiaTheme="majorEastAsia" w:hAnsiTheme="majorHAnsi"/>
      <w:color w:val="2f5496" w:themeColor="accent1" w:themeShade="0000BF"/>
      <w:lang w:val="es-CR"/>
    </w:rPr>
  </w:style>
  <w:style w:type="paragraph" w:styleId="Default" w:customStyle="1">
    <w:name w:val="Default"/>
    <w:rsid w:val="005270E5"/>
    <w:pPr>
      <w:autoSpaceDE w:val="0"/>
      <w:autoSpaceDN w:val="0"/>
      <w:adjustRightInd w:val="0"/>
      <w:spacing w:after="0" w:line="240" w:lineRule="auto"/>
    </w:pPr>
    <w:rPr>
      <w:rFonts w:ascii="Myriad Pro" w:cs="Myriad Pro" w:hAnsi="Myriad Pro"/>
      <w:color w:val="000000"/>
      <w:sz w:val="24"/>
      <w:szCs w:val="24"/>
      <w:lang w:val="es-C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BSbkpmeDoj9xJ3Eu3bu5DjGQ7OA==">CgMxLjAyDmguNHY2dXd4bjQzeDVuMg5oLjRmY20yeXRuM2drbTIOaC5paGR5YjVrdmxkaTgyCWguMzBqMHpsbDIJaC4xZm9iOXRlOAByITE1bmFoS09xM1dhZUZ5R3pCTTh3VDJtX2REcUcyWjA3cw==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2023-02-21T18:04:00Z</dcterms:created>
  <dc:creator>Johanna Marcela Coto Jimenez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0x01010053D934A13A8DDF4AAD79819AB726777E</vt:lpwstr>
  </property>
</Properties>
</file>